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1"/>
        </w:rPr>
      </w:pPr>
      <w:r>
        <w:rPr>
          <w:rFonts w:hint="eastAsia"/>
          <w:b/>
          <w:sz w:val="32"/>
          <w:szCs w:val="28"/>
        </w:rPr>
        <w:t>企业挂牌申请表</w:t>
      </w:r>
    </w:p>
    <w:tbl>
      <w:tblPr>
        <w:tblStyle w:val="5"/>
        <w:tblpPr w:leftFromText="180" w:rightFromText="180" w:vertAnchor="page" w:horzAnchor="page" w:tblpX="1904" w:tblpY="2283"/>
        <w:tblOverlap w:val="never"/>
        <w:tblW w:w="8400" w:type="dxa"/>
        <w:tblInd w:w="0" w:type="dxa"/>
        <w:tblLayout w:type="fixed"/>
        <w:tblCellMar>
          <w:top w:w="0" w:type="dxa"/>
          <w:left w:w="0" w:type="dxa"/>
          <w:bottom w:w="0" w:type="dxa"/>
          <w:right w:w="0" w:type="dxa"/>
        </w:tblCellMar>
      </w:tblPr>
      <w:tblGrid>
        <w:gridCol w:w="1568"/>
        <w:gridCol w:w="2970"/>
        <w:gridCol w:w="1545"/>
        <w:gridCol w:w="2317"/>
      </w:tblGrid>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推荐机构</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sz w:val="18"/>
                <w:szCs w:val="18"/>
              </w:rPr>
              <w:t>陕西省技术转移中心</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lang w:eastAsia="zh-CN"/>
              </w:rPr>
              <w:t>机构</w:t>
            </w:r>
            <w:r>
              <w:rPr>
                <w:rFonts w:hint="eastAsia" w:ascii="宋体" w:hAnsi="宋体" w:eastAsia="宋体" w:cs="宋体"/>
                <w:color w:val="404040"/>
                <w:sz w:val="18"/>
                <w:szCs w:val="18"/>
              </w:rPr>
              <w:t>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中国人民解放军第四军医大学</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项目名称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乳腺癌顽固性淋巴转移患者的靶向治疗</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知识产权情况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 xml:space="preserve">□发明专利    □实用新型    □外观设计    </w:t>
            </w:r>
            <w:r>
              <w:rPr>
                <w:rFonts w:hint="eastAsia" w:ascii="宋体" w:hAnsi="宋体" w:eastAsia="宋体" w:cs="宋体"/>
                <w:color w:val="000000"/>
                <w:sz w:val="18"/>
                <w:szCs w:val="18"/>
              </w:rPr>
              <w:t>■</w:t>
            </w:r>
            <w:r>
              <w:rPr>
                <w:rFonts w:hint="eastAsia" w:ascii="宋体" w:hAnsi="宋体" w:eastAsia="宋体" w:cs="宋体"/>
                <w:color w:val="404040"/>
                <w:sz w:val="18"/>
                <w:szCs w:val="18"/>
              </w:rPr>
              <w:t>软件著作权    □商标   □其他</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专利名称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93"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发明人/专利权人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胡泽兵</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专利号</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胡泽兵</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联系方式</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18729512767</w:t>
            </w:r>
          </w:p>
        </w:tc>
      </w:tr>
      <w:tr>
        <w:tblPrEx>
          <w:tblLayout w:type="fixed"/>
          <w:tblCellMar>
            <w:top w:w="0" w:type="dxa"/>
            <w:left w:w="0" w:type="dxa"/>
            <w:bottom w:w="0" w:type="dxa"/>
            <w:right w:w="0" w:type="dxa"/>
          </w:tblCellMar>
        </w:tblPrEx>
        <w:trPr>
          <w:trHeight w:val="472"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color w:val="404040"/>
                <w:sz w:val="18"/>
                <w:szCs w:val="18"/>
              </w:rPr>
              <w:t>项目所属领域</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rPr>
                <w:rFonts w:hint="eastAsia" w:ascii="宋体" w:hAnsi="宋体" w:eastAsia="宋体" w:cs="宋体"/>
                <w:color w:val="404040"/>
                <w:sz w:val="18"/>
                <w:szCs w:val="18"/>
              </w:rPr>
            </w:pPr>
            <w:r>
              <w:rPr>
                <w:rFonts w:hint="eastAsia" w:ascii="宋体" w:hAnsi="宋体" w:eastAsia="宋体" w:cs="宋体"/>
                <w:color w:val="404040"/>
                <w:sz w:val="18"/>
                <w:szCs w:val="18"/>
              </w:rPr>
              <w:t xml:space="preserve">□电子信息      </w:t>
            </w:r>
            <w:r>
              <w:rPr>
                <w:rFonts w:hint="eastAsia" w:ascii="宋体" w:hAnsi="宋体" w:eastAsia="宋体" w:cs="宋体"/>
                <w:color w:val="000000"/>
                <w:sz w:val="18"/>
                <w:szCs w:val="18"/>
              </w:rPr>
              <w:t>■</w:t>
            </w:r>
            <w:r>
              <w:rPr>
                <w:rFonts w:hint="eastAsia" w:ascii="宋体" w:hAnsi="宋体" w:eastAsia="宋体" w:cs="宋体"/>
                <w:color w:val="404040"/>
                <w:sz w:val="18"/>
                <w:szCs w:val="18"/>
              </w:rPr>
              <w:t>生物、医药          □新材料        □光机电一体化</w:t>
            </w:r>
            <w:r>
              <w:rPr>
                <w:rFonts w:hint="eastAsia" w:ascii="宋体" w:hAnsi="宋体" w:eastAsia="宋体" w:cs="宋体"/>
                <w:color w:val="404040"/>
                <w:sz w:val="18"/>
                <w:szCs w:val="18"/>
              </w:rPr>
              <w:br w:type="textWrapping"/>
            </w:r>
            <w:r>
              <w:rPr>
                <w:rFonts w:hint="eastAsia" w:ascii="宋体" w:hAnsi="宋体" w:eastAsia="宋体" w:cs="宋体"/>
                <w:color w:val="404040"/>
                <w:sz w:val="18"/>
                <w:szCs w:val="18"/>
              </w:rPr>
              <w:t>□</w:t>
            </w:r>
            <w:r>
              <w:rPr>
                <w:rFonts w:hint="eastAsia" w:ascii="宋体" w:hAnsi="宋体" w:eastAsia="宋体" w:cs="宋体"/>
                <w:sz w:val="18"/>
                <w:szCs w:val="18"/>
              </w:rPr>
              <w:t>资源与环境    □新能源与高效节能    □其他</w:t>
            </w:r>
            <w:r>
              <w:rPr>
                <w:rFonts w:hint="eastAsia" w:ascii="宋体" w:hAnsi="宋体" w:eastAsia="宋体" w:cs="宋体"/>
                <w:sz w:val="18"/>
                <w:szCs w:val="18"/>
                <w:u w:val="single"/>
              </w:rPr>
              <w:t xml:space="preserve">           </w:t>
            </w:r>
          </w:p>
        </w:tc>
      </w:tr>
      <w:tr>
        <w:tblPrEx>
          <w:tblLayout w:type="fixed"/>
          <w:tblCellMar>
            <w:top w:w="0" w:type="dxa"/>
            <w:left w:w="0" w:type="dxa"/>
            <w:bottom w:w="0" w:type="dxa"/>
            <w:right w:w="0" w:type="dxa"/>
          </w:tblCellMar>
        </w:tblPrEx>
        <w:trPr>
          <w:trHeight w:val="91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lang w:eastAsia="zh-CN"/>
              </w:rPr>
            </w:pPr>
            <w:r>
              <w:rPr>
                <w:rFonts w:hint="eastAsia" w:ascii="宋体" w:hAnsi="宋体" w:eastAsia="宋体" w:cs="宋体"/>
                <w:sz w:val="18"/>
                <w:szCs w:val="18"/>
                <w:lang w:eastAsia="zh-CN"/>
              </w:rPr>
              <w:t>技术简介</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 xml:space="preserve">    淋巴系统转移是引起乳腺癌术后复发和患者死亡的重要因素。目前国内外指南中，针对淋巴转移的治疗措施主要包括手术、放化疗等，但对部分患者的淋巴转移灶疗效较差，原因在于：①全身化疗难以在淋巴系统内达到有效浓度，大剂量静脉化疗易产生患者不能承受的毒副作用；②乳癌有多条淋巴转移途径，局部放疗难以有效杀灭胸骨旁、纵隔、肝门或腹腔内淋巴转移灶；③广泛的手术切除不仅创伤大、并发症多，易导致难以修复的畸形和功能丧失，且可能由于某些部位解剖结构的限制而无法达到根治。</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 xml:space="preserve">    课题组从肿瘤前哨淋巴结活检技术中得到启发，设想以药物替代示踪剂，利用药物载体包裹或吸附抗癌药物，局部给药实现区域淋巴组织的靶向治疗。课题组在国内外率先开展了该创新治疗模式对乳腺癌细胞系、动物模型、顽固性淋巴转移阳性患者的治疗，发现淋巴靶向治疗可有效提高淋巴组织药物浓度，并显著抑制转移癌细胞生长。因此，淋巴靶向治疗可作为转移性乳腺癌现有治疗手段的有益补充，用于顽固性淋巴转移乳腺癌患者的治疗。</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主要学术贡献：</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rPr>
              <w:tab/>
            </w:r>
            <w:r>
              <w:rPr>
                <w:rFonts w:hint="eastAsia" w:ascii="宋体" w:hAnsi="宋体" w:eastAsia="宋体" w:cs="宋体"/>
                <w:sz w:val="18"/>
                <w:szCs w:val="18"/>
              </w:rPr>
              <w:t>首次证实活性碳可作为抗肿瘤药物载体，实现药物淋巴靶向分布</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在西安市科技攻关项目（GG06167）支持下，分别对乳腺癌模型和患者实施活性碳-丝裂霉素及活性碳-卡铂靶向治疗，原子吸收光谱发现活性碳载药组腋窝淋巴结卡铂浓度高出对照组10-25倍，证实活性碳的载药和靶向释药能力。</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rPr>
              <w:tab/>
            </w:r>
            <w:r>
              <w:rPr>
                <w:rFonts w:hint="eastAsia" w:ascii="宋体" w:hAnsi="宋体" w:eastAsia="宋体" w:cs="宋体"/>
                <w:sz w:val="18"/>
                <w:szCs w:val="18"/>
              </w:rPr>
              <w:t>首次探讨淋巴靶向治疗的作用机制</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在国科金（NO.30600597）支持下，首次探讨淋巴靶向治疗机制，证实阿霉素脂质体主要通过抑制乳腺癌周围淋巴管生成或干扰巨噬细胞和树突状细胞的吞噬能力发挥作用。</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3.</w:t>
            </w:r>
            <w:r>
              <w:rPr>
                <w:rFonts w:hint="eastAsia" w:ascii="宋体" w:hAnsi="宋体" w:eastAsia="宋体" w:cs="宋体"/>
                <w:sz w:val="18"/>
                <w:szCs w:val="18"/>
              </w:rPr>
              <w:tab/>
            </w:r>
            <w:r>
              <w:rPr>
                <w:rFonts w:hint="eastAsia" w:ascii="宋体" w:hAnsi="宋体" w:eastAsia="宋体" w:cs="宋体"/>
                <w:sz w:val="18"/>
                <w:szCs w:val="18"/>
              </w:rPr>
              <w:t>首次研发并验证阿霉素脂质体可获得显著的淋巴靶向治疗效果</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首先在乳腺癌模型上验证了Caelyx的淋巴靶向作用，其后选择2006～2009年在我科接受新辅助化疗的318例乳腺癌患者，将72例原发肿瘤缩小而腋淋巴结无变化的患者分为靶向治疗组和对照组，发现靶向组的临床缓解率、病理完全缓解率、转移癌细胞凋亡率和无病生存率均显著提高。在国内外首次提出淋巴靶向化疗可作为一种重要的辅助手段加入转移性乳腺癌的全身治疗中。</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4.</w:t>
            </w:r>
            <w:r>
              <w:rPr>
                <w:rFonts w:hint="eastAsia" w:ascii="宋体" w:hAnsi="宋体" w:eastAsia="宋体" w:cs="宋体"/>
                <w:sz w:val="18"/>
                <w:szCs w:val="18"/>
              </w:rPr>
              <w:tab/>
            </w:r>
            <w:r>
              <w:rPr>
                <w:rFonts w:hint="eastAsia" w:ascii="宋体" w:hAnsi="宋体" w:eastAsia="宋体" w:cs="宋体"/>
                <w:sz w:val="18"/>
                <w:szCs w:val="18"/>
              </w:rPr>
              <w:t xml:space="preserve"> 应用PET/CT融合显像技术预测乳腺癌新辅助化疗疗效</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确定了PET/CT检测淋巴结转移和远处转移的高敏感性，其预测临床缓解的灵敏度和特异度，为判断与筛选顽固性淋巴转移患者以及疗效判定提供了可靠评价标准。</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5.</w:t>
            </w:r>
            <w:r>
              <w:rPr>
                <w:rFonts w:hint="eastAsia" w:ascii="宋体" w:hAnsi="宋体" w:eastAsia="宋体" w:cs="宋体"/>
                <w:sz w:val="18"/>
                <w:szCs w:val="18"/>
              </w:rPr>
              <w:tab/>
            </w:r>
            <w:r>
              <w:rPr>
                <w:rFonts w:hint="eastAsia" w:ascii="宋体" w:hAnsi="宋体" w:eastAsia="宋体" w:cs="宋体"/>
                <w:sz w:val="18"/>
                <w:szCs w:val="18"/>
              </w:rPr>
              <w:t>首次完成针对乳腺癌淋巴靶向治疗的多中心研究</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在陕西省课题（2005K09-G10（4））支持下，我中心牵头组织国内外首次乳腺癌淋巴靶向治疗的多中心大型III期临床研究，共12个中心参与。经过近7年的临床实践，已累计救治顽固性淋巴转移的乳腺癌患者567人，证实该技术兼具满意的疗效和安全性，具有临床推广价值。</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6.    首次研发新型乳腺癌淋巴靶向制剂</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在国科金（NO.81172510）支持下，将我校陈志南院士研制的针对CD147分子、具有国家I类新药证书的HAb18抗体药物--美妥昔单抗注射液（No. S20050039）与脂质体技术结合，首次制备出新型乳腺癌生物靶向制剂，进一步提高淋巴靶向效率。</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 xml:space="preserve">    有关乳腺癌淋巴化疗的系列试验在国内外属于首发研究，并一直处于国际前沿水平。研究数据在本专业权威杂志发表文章18篇，总引用163次，在国内学术会议报告20余次，开办专题培训班8期，培养学员115人，产生了重要的学术影响。我国乳腺癌领域泰斗、复旦大学肿瘤医院沈震宙教授曾在"肿瘤"杂志卷首专门撰文给予推荐。该创新治疗模式对顽固性淋巴转移患者实施个体化精准治疗，对国内外现有治疗指南形成有益补充，有助于提高乳腺癌的综合治疗水平。   </w:t>
            </w:r>
            <w:bookmarkStart w:id="0" w:name="_GoBack"/>
            <w:bookmarkEnd w:id="0"/>
          </w:p>
        </w:tc>
      </w:tr>
      <w:tr>
        <w:tblPrEx>
          <w:tblLayout w:type="fixed"/>
          <w:tblCellMar>
            <w:top w:w="0" w:type="dxa"/>
            <w:left w:w="0" w:type="dxa"/>
            <w:bottom w:w="0" w:type="dxa"/>
            <w:right w:w="0" w:type="dxa"/>
          </w:tblCellMar>
        </w:tblPrEx>
        <w:trPr>
          <w:trHeight w:val="82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sz w:val="18"/>
                <w:szCs w:val="18"/>
              </w:rPr>
              <w:t>项目阶段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ind w:firstLine="90" w:firstLineChars="50"/>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eastAsia="zh-CN"/>
              </w:rPr>
              <w:t>初期阶段</w:t>
            </w:r>
            <w:r>
              <w:rPr>
                <w:rFonts w:hint="eastAsia" w:ascii="宋体" w:hAnsi="宋体" w:eastAsia="宋体" w:cs="宋体"/>
                <w:sz w:val="18"/>
                <w:szCs w:val="18"/>
              </w:rPr>
              <w:t xml:space="preserve">     □</w:t>
            </w:r>
            <w:r>
              <w:rPr>
                <w:rFonts w:hint="eastAsia" w:ascii="宋体" w:hAnsi="宋体" w:eastAsia="宋体" w:cs="宋体"/>
                <w:sz w:val="18"/>
                <w:szCs w:val="18"/>
                <w:lang w:eastAsia="zh-CN"/>
              </w:rPr>
              <w:t>中期阶段</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成熟应用阶段</w:t>
            </w:r>
            <w:r>
              <w:rPr>
                <w:rFonts w:hint="eastAsia" w:ascii="宋体" w:hAnsi="宋体" w:eastAsia="宋体" w:cs="宋体"/>
                <w:sz w:val="18"/>
                <w:szCs w:val="18"/>
              </w:rPr>
              <w:t xml:space="preserve">  </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sz w:val="18"/>
                <w:szCs w:val="18"/>
              </w:rPr>
            </w:pPr>
            <w:r>
              <w:rPr>
                <w:rFonts w:hint="eastAsia" w:ascii="宋体" w:hAnsi="宋体" w:eastAsia="宋体" w:cs="宋体"/>
                <w:sz w:val="18"/>
                <w:szCs w:val="18"/>
              </w:rPr>
              <w:t>技术交易方式</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 xml:space="preserve"> □技术</w:t>
            </w:r>
            <w:r>
              <w:rPr>
                <w:rFonts w:hint="eastAsia" w:ascii="宋体" w:hAnsi="宋体" w:eastAsia="宋体" w:cs="宋体"/>
                <w:sz w:val="18"/>
                <w:szCs w:val="18"/>
                <w:lang w:eastAsia="zh-CN"/>
              </w:rPr>
              <w:t>转让或许可收入</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合作转化</w:t>
            </w:r>
            <w:r>
              <w:rPr>
                <w:rFonts w:hint="eastAsia" w:ascii="宋体" w:hAnsi="宋体" w:eastAsia="宋体" w:cs="宋体"/>
                <w:sz w:val="18"/>
                <w:szCs w:val="18"/>
              </w:rPr>
              <w:t xml:space="preserve">     □</w:t>
            </w:r>
            <w:r>
              <w:rPr>
                <w:rFonts w:hint="eastAsia" w:ascii="宋体" w:hAnsi="宋体" w:eastAsia="宋体" w:cs="宋体"/>
                <w:sz w:val="18"/>
                <w:szCs w:val="18"/>
                <w:lang w:eastAsia="zh-CN"/>
              </w:rPr>
              <w:t>自我转化</w:t>
            </w:r>
            <w:r>
              <w:rPr>
                <w:rFonts w:hint="eastAsia" w:ascii="宋体" w:hAnsi="宋体" w:eastAsia="宋体" w:cs="宋体"/>
                <w:sz w:val="18"/>
                <w:szCs w:val="18"/>
              </w:rPr>
              <w:t xml:space="preserve">   </w:t>
            </w:r>
          </w:p>
        </w:tc>
      </w:tr>
    </w:tbl>
    <w:p>
      <w:pPr>
        <w:spacing w:line="360" w:lineRule="exact"/>
        <w:jc w:val="left"/>
        <w:rPr>
          <w:rFonts w:hint="eastAsia" w:ascii="宋体" w:hAnsi="宋体" w:eastAsia="宋体" w:cs="宋体"/>
          <w:sz w:val="18"/>
          <w:szCs w:val="18"/>
        </w:rPr>
      </w:pPr>
      <w:r>
        <w:rPr>
          <w:rFonts w:hint="eastAsia" w:ascii="宋体" w:hAnsi="宋体" w:eastAsia="宋体" w:cs="宋体"/>
          <w:bCs/>
          <w:sz w:val="18"/>
          <w:szCs w:val="18"/>
        </w:rPr>
        <w:t>承诺书：本人承诺所提供的信息完全属实，对该委托技术具有完全处分权利，并愿意完全承担因技术权属纠纷所引起的责任。</w:t>
      </w:r>
    </w:p>
    <w:p>
      <w:pPr>
        <w:spacing w:before="156" w:beforeLines="50" w:after="156" w:afterLines="50" w:line="360" w:lineRule="auto"/>
        <w:jc w:val="left"/>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申请人签章：</w:t>
      </w:r>
    </w:p>
    <w:p>
      <w:pPr>
        <w:spacing w:before="156" w:beforeLines="50" w:after="156" w:afterLines="50" w:line="360" w:lineRule="auto"/>
        <w:ind w:firstLine="4680" w:firstLineChars="2600"/>
        <w:jc w:val="left"/>
      </w:pPr>
      <w:r>
        <w:rPr>
          <w:rFonts w:hint="eastAsia" w:ascii="宋体" w:hAnsi="宋体" w:eastAsia="宋体" w:cs="宋体"/>
          <w:sz w:val="18"/>
          <w:szCs w:val="18"/>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B1317"/>
    <w:rsid w:val="117B13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2017-09-07T06:14:00Z</dcterms:created>
  <dc:creator>Administrator</dc:creator>
  <cp:lastModifiedBy>Administrator</cp:lastModifiedBy>
  <dcterms:modified xsi:type="dcterms:W3CDTF">2017-09-07T06:18:08Z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